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中国政法大学MBA管理案例精英赛校园突围赛</w:t>
      </w: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比赛规则及评分表</w:t>
      </w:r>
    </w:p>
    <w:p>
      <w:pPr>
        <w:spacing w:after="156" w:afterLines="50" w:line="288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一、</w:t>
      </w:r>
      <w:r>
        <w:rPr>
          <w:rFonts w:ascii="宋体" w:hAnsi="宋体" w:eastAsia="宋体"/>
          <w:b/>
          <w:sz w:val="24"/>
          <w:szCs w:val="24"/>
        </w:rPr>
        <w:t xml:space="preserve">比赛规则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比赛采用大小PK制每次上台两支队伍，比赛所有流程按主持人提示进行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超时扣分。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1、</w:t>
      </w:r>
      <w:r>
        <w:rPr>
          <w:rFonts w:ascii="宋体" w:hAnsi="宋体" w:eastAsia="宋体"/>
          <w:sz w:val="24"/>
          <w:szCs w:val="24"/>
        </w:rPr>
        <w:t>第一环节：小PK（30分钟）程序如下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（1）</w:t>
      </w:r>
      <w:r>
        <w:rPr>
          <w:rFonts w:ascii="宋体" w:hAnsi="宋体" w:eastAsia="宋体"/>
          <w:sz w:val="24"/>
          <w:szCs w:val="24"/>
        </w:rPr>
        <w:t>甲乙两队上场，甲队陈述，乙队针对甲队陈述提问；乙队陈述，甲队针对乙队陈述提问。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（2）</w:t>
      </w:r>
      <w:r>
        <w:rPr>
          <w:rFonts w:ascii="宋体" w:hAnsi="宋体" w:eastAsia="宋体"/>
          <w:sz w:val="24"/>
          <w:szCs w:val="24"/>
        </w:rPr>
        <w:t>台上4人均需陈述，第四位陈述者要有总结性发言。陈述时间为10分钟，问答环节为5分钟，每次提问只能提一个问题且不得超过30秒。每次问答时间共2分钟。问答双方请起立。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（3）</w:t>
      </w:r>
      <w:r>
        <w:rPr>
          <w:rFonts w:ascii="宋体" w:hAnsi="宋体" w:eastAsia="宋体"/>
          <w:sz w:val="24"/>
          <w:szCs w:val="24"/>
        </w:rPr>
        <w:t xml:space="preserve">台上提问者可指定对方某位队员回答，被指定队员回答完毕后，其他台上或台下队员方可补充，如有两名及以上者举手补充，由主持人指定补充回答队员。不能连续提问某位指定队员。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2、</w:t>
      </w:r>
      <w:r>
        <w:rPr>
          <w:rFonts w:ascii="宋体" w:hAnsi="宋体" w:eastAsia="宋体"/>
          <w:sz w:val="24"/>
          <w:szCs w:val="24"/>
        </w:rPr>
        <w:t>第二环节：大PK（20分钟）程序如下：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（1）</w:t>
      </w:r>
      <w:r>
        <w:rPr>
          <w:rFonts w:ascii="宋体" w:hAnsi="宋体" w:eastAsia="宋体"/>
          <w:sz w:val="24"/>
          <w:szCs w:val="24"/>
        </w:rPr>
        <w:t>台下队伍、观众向台上两支队伍提问（8分钟），每次提问不得超过30秒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 xml:space="preserve">台下每支队伍每次只能针对台上的一支队伍提一个问题，如果追问算第二次提问。台下队伍或观众可指定台上某位队员回答，被指定队员回答完毕后，其他台上或台下队员方可补充。不能连续提问某位指定队员，不能连续提问同一支队伍，不准向本校队伍提问。台下观众每次只能提一个问题，每次问答时间共2分钟，观众提问不计分。问答双方请起立。如果台下队伍没有问题，主持人可以提前结束台下队伍提问环节。 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 xml:space="preserve">台下评委向台上队伍提问（12分钟）。评委提问不限时间，但请尽可能简短。问答共12分钟。台上队伍回答请起立，每次回答时间不得超过2分钟。如果评委没有问题，主持人可以取消或提前结束评委提问环节。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3、</w:t>
      </w:r>
      <w:r>
        <w:rPr>
          <w:rFonts w:ascii="宋体" w:hAnsi="宋体" w:eastAsia="宋体"/>
          <w:sz w:val="24"/>
          <w:szCs w:val="24"/>
        </w:rPr>
        <w:t>补充说明：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赛前盲审及现场竞赛阶段的打分都要去掉极值分数，即去掉一个最高分一个最低分。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案例大赛分为赛前盲审和现场竞赛两个环节，每支参赛队伍的分数为两个环节得分的加总。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其中，赛前盲审环节分值为40分，评分标准及要点参见盲审评分表；现场竞赛环节分值为60分，评分标准及要点参见现场评分表。参赛队伍于现场比赛前一晚提交案例PPT或案例分析报 告，逾期未交者取消比赛资格。 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评委打分现场公开；每组大小PK结束后，由评委举牌公布打分情况。现场阶段比赛全部结束后，由评审团主席当着所有参赛队伍的面拆开密封条公布各队盲审得分，并进行加总。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2.评分规则（表1和表2，共计100分）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表1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管理案例精英赛（</w:t>
      </w:r>
      <w:r>
        <w:rPr>
          <w:rFonts w:hint="eastAsia" w:ascii="微软雅黑" w:hAnsi="微软雅黑" w:eastAsia="微软雅黑" w:cs="Calibri"/>
          <w:szCs w:val="21"/>
        </w:rPr>
        <w:t>2019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）</w:t>
      </w:r>
      <w:r>
        <w:rPr>
          <w:rFonts w:hint="eastAsia" w:ascii="微软雅黑" w:hAnsi="微软雅黑" w:eastAsia="微软雅黑" w:cs="宋体"/>
          <w:szCs w:val="21"/>
          <w:lang w:val="zh-TW"/>
        </w:rPr>
        <w:t>校园突围赛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盲审阶段评分表（</w:t>
      </w:r>
      <w:r>
        <w:rPr>
          <w:rFonts w:hint="eastAsia" w:ascii="微软雅黑" w:hAnsi="微软雅黑" w:eastAsia="微软雅黑" w:cs="Calibri"/>
          <w:szCs w:val="21"/>
        </w:rPr>
        <w:t>40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分）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67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评分项目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参考评分标准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得分（精确到小数后 一位）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3"/>
                <w:szCs w:val="1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案例分析 （40分）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案例问题解决方案的合理性与可行性（10分）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案例问题解决方案的创新性（10分）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案例问题解决方案的有效性（10分）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案例信息与数据分析的准确性与充足性（5分）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管理理论与方法的应用(5分)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评委签名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总分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PMingLiU"/>
          <w:szCs w:val="21"/>
        </w:rPr>
      </w:pPr>
      <w:r>
        <w:rPr>
          <w:rFonts w:ascii="微软雅黑" w:hAnsi="微软雅黑" w:eastAsia="微软雅黑"/>
          <w:szCs w:val="21"/>
        </w:rPr>
        <w:t>表2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管理案例精英赛（</w:t>
      </w:r>
      <w:r>
        <w:rPr>
          <w:rFonts w:hint="eastAsia" w:ascii="微软雅黑" w:hAnsi="微软雅黑" w:eastAsia="微软雅黑" w:cs="Calibri"/>
          <w:szCs w:val="21"/>
        </w:rPr>
        <w:t>2019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）</w:t>
      </w:r>
      <w:r>
        <w:rPr>
          <w:rFonts w:hint="eastAsia" w:ascii="微软雅黑" w:hAnsi="微软雅黑" w:eastAsia="微软雅黑" w:cs="宋体"/>
          <w:szCs w:val="21"/>
          <w:lang w:val="zh-TW"/>
        </w:rPr>
        <w:t>校园突围赛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现场阶段评分表（</w:t>
      </w:r>
      <w:r>
        <w:rPr>
          <w:rFonts w:hint="eastAsia" w:ascii="微软雅黑" w:hAnsi="微软雅黑" w:eastAsia="微软雅黑" w:cs="Calibri"/>
          <w:szCs w:val="21"/>
        </w:rPr>
        <w:t>60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分）</w:t>
      </w:r>
    </w:p>
    <w:tbl>
      <w:tblPr>
        <w:tblStyle w:val="9"/>
        <w:tblW w:w="8364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714"/>
        <w:gridCol w:w="1964"/>
        <w:gridCol w:w="2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评分项目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参考评分标准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PMingLiU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得分（精确到小数点后一位）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PMingLiU" w:cs="Calibri"/>
                <w:kern w:val="0"/>
                <w:sz w:val="20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案例分析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40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案例问题识别与分析的逻辑性与严谨性（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案例问题解决方案的创新性与有效性（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案例信息与数据分析的准确性与充足性（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现场提问及回答的专业性与应变能力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(10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)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Calibri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现场表现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20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语言表达的流畅性（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方案陈述的时间控制（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团队精神风貌（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团队分工与合作（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评委签名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总分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</w:tr>
    </w:tbl>
    <w:p>
      <w:pPr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BD"/>
    <w:rsid w:val="00097752"/>
    <w:rsid w:val="0016158E"/>
    <w:rsid w:val="003F4C51"/>
    <w:rsid w:val="004B74B4"/>
    <w:rsid w:val="0050077A"/>
    <w:rsid w:val="0056250E"/>
    <w:rsid w:val="00683CE7"/>
    <w:rsid w:val="008570F5"/>
    <w:rsid w:val="00956816"/>
    <w:rsid w:val="009C3405"/>
    <w:rsid w:val="00AC0B2B"/>
    <w:rsid w:val="00B10BBD"/>
    <w:rsid w:val="00EE4E3C"/>
    <w:rsid w:val="4F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Table Normal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1248</Characters>
  <Lines>10</Lines>
  <Paragraphs>2</Paragraphs>
  <TotalTime>49</TotalTime>
  <ScaleCrop>false</ScaleCrop>
  <LinksUpToDate>false</LinksUpToDate>
  <CharactersWithSpaces>1464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2019-03-02T11:39:00Z</dcterms:created>
  <dc:creator>dell</dc:creator>
  <cp:lastModifiedBy>4049</cp:lastModifiedBy>
  <dcterms:modified xsi:type="dcterms:W3CDTF">2019-04-26T05:23:29Z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